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CFF7" w14:textId="22505B08" w:rsidR="000F2ABA" w:rsidRPr="00187B03" w:rsidRDefault="000F2ABA" w:rsidP="000F2ABA">
      <w:p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AB12A26" wp14:editId="5C096202">
            <wp:simplePos x="0" y="0"/>
            <wp:positionH relativeFrom="column">
              <wp:posOffset>4170066</wp:posOffset>
            </wp:positionH>
            <wp:positionV relativeFrom="paragraph">
              <wp:posOffset>-5498</wp:posOffset>
            </wp:positionV>
            <wp:extent cx="2591435" cy="850900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F0614" w14:textId="6EFCEDEA" w:rsidR="000F2ABA" w:rsidRDefault="000F2ABA" w:rsidP="000F2ABA">
      <w:pPr>
        <w:rPr>
          <w:rFonts w:eastAsiaTheme="minorEastAsia" w:cstheme="minorHAnsi"/>
          <w:b/>
          <w:bCs/>
          <w:noProof/>
          <w:color w:val="000000"/>
          <w:sz w:val="36"/>
          <w:szCs w:val="36"/>
        </w:rPr>
      </w:pPr>
      <w:r>
        <w:rPr>
          <w:rFonts w:eastAsiaTheme="minorEastAsia" w:cstheme="minorHAnsi"/>
          <w:b/>
          <w:bCs/>
          <w:noProof/>
          <w:color w:val="000000"/>
          <w:sz w:val="36"/>
          <w:szCs w:val="36"/>
        </w:rPr>
        <w:t xml:space="preserve">Settling In </w:t>
      </w:r>
      <w:r w:rsidRPr="00187B03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Policy</w:t>
      </w:r>
    </w:p>
    <w:p w14:paraId="2872E3B3" w14:textId="77777777" w:rsidR="000F2ABA" w:rsidRDefault="000F2ABA" w:rsidP="000F2ABA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4CD914D1" w14:textId="77777777" w:rsidR="000F2ABA" w:rsidRDefault="000F2ABA" w:rsidP="000F2ABA">
      <w:pPr>
        <w:rPr>
          <w:rFonts w:eastAsiaTheme="minorEastAsia" w:cstheme="minorHAnsi"/>
          <w:noProof/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4476"/>
      </w:tblGrid>
      <w:tr w:rsidR="000F2ABA" w:rsidRPr="000C78E2" w14:paraId="5EC5CC3B" w14:textId="77777777" w:rsidTr="001A4B22">
        <w:trPr>
          <w:trHeight w:val="197"/>
        </w:trPr>
        <w:tc>
          <w:tcPr>
            <w:tcW w:w="2119" w:type="dxa"/>
          </w:tcPr>
          <w:p w14:paraId="3F0070D0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Policy number</w:t>
            </w:r>
          </w:p>
        </w:tc>
        <w:tc>
          <w:tcPr>
            <w:tcW w:w="4476" w:type="dxa"/>
          </w:tcPr>
          <w:p w14:paraId="0EF4C211" w14:textId="4BFFE0A5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  <w:tr w:rsidR="000F2ABA" w:rsidRPr="000C78E2" w14:paraId="33A70626" w14:textId="77777777" w:rsidTr="001A4B22">
        <w:trPr>
          <w:trHeight w:val="209"/>
        </w:trPr>
        <w:tc>
          <w:tcPr>
            <w:tcW w:w="2119" w:type="dxa"/>
          </w:tcPr>
          <w:p w14:paraId="6538ED44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Written by</w:t>
            </w:r>
          </w:p>
        </w:tc>
        <w:tc>
          <w:tcPr>
            <w:tcW w:w="4476" w:type="dxa"/>
          </w:tcPr>
          <w:p w14:paraId="53F330E1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Paula Stevens</w:t>
            </w:r>
          </w:p>
        </w:tc>
      </w:tr>
      <w:tr w:rsidR="000F2ABA" w:rsidRPr="000C78E2" w14:paraId="57D6FFDC" w14:textId="77777777" w:rsidTr="001A4B22">
        <w:trPr>
          <w:trHeight w:val="197"/>
        </w:trPr>
        <w:tc>
          <w:tcPr>
            <w:tcW w:w="2119" w:type="dxa"/>
          </w:tcPr>
          <w:p w14:paraId="29A3B48D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Effective date</w:t>
            </w:r>
          </w:p>
        </w:tc>
        <w:tc>
          <w:tcPr>
            <w:tcW w:w="4476" w:type="dxa"/>
          </w:tcPr>
          <w:p w14:paraId="08524969" w14:textId="7277D62B" w:rsidR="000F2ABA" w:rsidRPr="00B9364A" w:rsidRDefault="00B14148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November</w:t>
            </w:r>
            <w:r w:rsidR="00D229DF" w:rsidRPr="00B9364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F2ABA" w:rsidRPr="00B9364A">
              <w:rPr>
                <w:rFonts w:asciiTheme="majorHAnsi" w:hAnsiTheme="majorHAnsi" w:cstheme="majorHAnsi"/>
                <w:sz w:val="22"/>
                <w:szCs w:val="22"/>
              </w:rPr>
              <w:t>202</w:t>
            </w:r>
            <w:r w:rsidR="00FC5DDC" w:rsidRPr="00B9364A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</w:tr>
      <w:tr w:rsidR="000F2ABA" w:rsidRPr="000C78E2" w14:paraId="7E403931" w14:textId="77777777" w:rsidTr="001A4B22">
        <w:trPr>
          <w:trHeight w:val="209"/>
        </w:trPr>
        <w:tc>
          <w:tcPr>
            <w:tcW w:w="2119" w:type="dxa"/>
          </w:tcPr>
          <w:p w14:paraId="6E227608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Review date</w:t>
            </w:r>
          </w:p>
        </w:tc>
        <w:tc>
          <w:tcPr>
            <w:tcW w:w="4476" w:type="dxa"/>
          </w:tcPr>
          <w:p w14:paraId="3B170C50" w14:textId="530F91C0" w:rsidR="000F2ABA" w:rsidRPr="00B9364A" w:rsidRDefault="00B14148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 xml:space="preserve">November </w:t>
            </w:r>
            <w:r w:rsidR="000F2ABA" w:rsidRPr="00B9364A">
              <w:rPr>
                <w:rFonts w:asciiTheme="majorHAnsi" w:hAnsiTheme="majorHAnsi" w:cstheme="majorHAnsi"/>
                <w:sz w:val="22"/>
                <w:szCs w:val="22"/>
              </w:rPr>
              <w:t>202</w:t>
            </w:r>
            <w:r w:rsidR="00FC5DDC" w:rsidRPr="00B9364A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  <w:tr w:rsidR="000F2ABA" w:rsidRPr="000C78E2" w14:paraId="6E0E8997" w14:textId="77777777" w:rsidTr="001A4B22">
        <w:trPr>
          <w:trHeight w:val="603"/>
        </w:trPr>
        <w:tc>
          <w:tcPr>
            <w:tcW w:w="2119" w:type="dxa"/>
          </w:tcPr>
          <w:p w14:paraId="00DF0EBB" w14:textId="50F5F558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Contact person</w:t>
            </w:r>
          </w:p>
        </w:tc>
        <w:tc>
          <w:tcPr>
            <w:tcW w:w="4476" w:type="dxa"/>
          </w:tcPr>
          <w:p w14:paraId="0844CE37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Paula Stevens – Manager</w:t>
            </w:r>
          </w:p>
          <w:p w14:paraId="52A7C2E3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Debbie Downes – Deputy Manager</w:t>
            </w:r>
          </w:p>
          <w:p w14:paraId="08EC5892" w14:textId="77777777" w:rsidR="000F2ABA" w:rsidRPr="00B9364A" w:rsidRDefault="000F2ABA" w:rsidP="00D414A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364A">
              <w:rPr>
                <w:rFonts w:asciiTheme="majorHAnsi" w:hAnsiTheme="majorHAnsi" w:cstheme="majorHAnsi"/>
                <w:sz w:val="22"/>
                <w:szCs w:val="22"/>
              </w:rPr>
              <w:t>Christine Hayward – Chair of Committee</w:t>
            </w:r>
          </w:p>
        </w:tc>
      </w:tr>
    </w:tbl>
    <w:p w14:paraId="3EC15AAB" w14:textId="77777777" w:rsidR="000F2ABA" w:rsidRDefault="000F2ABA" w:rsidP="000F2ABA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3E2CF399" w14:textId="38E30C76" w:rsidR="007A796A" w:rsidRPr="007A796A" w:rsidRDefault="007A796A" w:rsidP="007A796A">
      <w:pPr>
        <w:rPr>
          <w:sz w:val="28"/>
          <w:szCs w:val="28"/>
        </w:rPr>
      </w:pPr>
      <w:r w:rsidRPr="007A796A">
        <w:rPr>
          <w:sz w:val="28"/>
          <w:szCs w:val="28"/>
        </w:rPr>
        <w:t xml:space="preserve">We aim to settle children in a way that suits them as individuals. We recognise that some children will need a more gradual process than others. We aim to enable children to feel happy and confident </w:t>
      </w:r>
      <w:r w:rsidR="0035029B" w:rsidRPr="007A796A">
        <w:rPr>
          <w:sz w:val="28"/>
          <w:szCs w:val="28"/>
        </w:rPr>
        <w:t>to</w:t>
      </w:r>
      <w:r w:rsidRPr="007A796A">
        <w:rPr>
          <w:sz w:val="28"/>
          <w:szCs w:val="28"/>
        </w:rPr>
        <w:t xml:space="preserve"> make friends and to enjoy all </w:t>
      </w:r>
      <w:r w:rsidR="00D34990">
        <w:rPr>
          <w:sz w:val="28"/>
          <w:szCs w:val="28"/>
        </w:rPr>
        <w:t>our</w:t>
      </w:r>
      <w:r w:rsidRPr="007A796A">
        <w:rPr>
          <w:sz w:val="28"/>
          <w:szCs w:val="28"/>
        </w:rPr>
        <w:t xml:space="preserve"> fun activities. We focus on making families feel welcome and valued so we can establish strong links between home and our setting.</w:t>
      </w:r>
    </w:p>
    <w:p w14:paraId="3A071E94" w14:textId="77777777" w:rsidR="007A796A" w:rsidRPr="007A796A" w:rsidRDefault="007A796A" w:rsidP="000F2ABA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1AC032DB" w14:textId="59EED250" w:rsidR="000F2ABA" w:rsidRPr="006C0456" w:rsidRDefault="000F2ABA" w:rsidP="000F2ABA">
      <w:p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 w:rsidRPr="006C0456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>As a setting we will:</w:t>
      </w:r>
    </w:p>
    <w:p w14:paraId="53FBF92C" w14:textId="44A79EB6" w:rsidR="00482D4B" w:rsidRPr="00482D4B" w:rsidRDefault="00482D4B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a warm welcome to all families</w:t>
      </w:r>
      <w:r w:rsidR="000012F1">
        <w:rPr>
          <w:rFonts w:cstheme="minorHAnsi"/>
          <w:sz w:val="28"/>
          <w:szCs w:val="28"/>
        </w:rPr>
        <w:t xml:space="preserve">, without any </w:t>
      </w:r>
      <w:r w:rsidR="00E963A0">
        <w:rPr>
          <w:rFonts w:cstheme="minorHAnsi"/>
          <w:sz w:val="28"/>
          <w:szCs w:val="28"/>
        </w:rPr>
        <w:t>prejudice</w:t>
      </w:r>
      <w:r w:rsidR="000012F1">
        <w:rPr>
          <w:rFonts w:cstheme="minorHAnsi"/>
          <w:sz w:val="28"/>
          <w:szCs w:val="28"/>
        </w:rPr>
        <w:t xml:space="preserve"> </w:t>
      </w:r>
    </w:p>
    <w:p w14:paraId="5A6BC224" w14:textId="4C758855" w:rsidR="000F2ABA" w:rsidRPr="007A796A" w:rsidRDefault="00D34990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W</w:t>
      </w:r>
      <w:r w:rsidR="007A796A" w:rsidRPr="007A796A">
        <w:rPr>
          <w:sz w:val="28"/>
          <w:szCs w:val="28"/>
        </w:rPr>
        <w:t xml:space="preserve">ork with families </w:t>
      </w:r>
      <w:r w:rsidR="00CC3653">
        <w:rPr>
          <w:sz w:val="28"/>
          <w:szCs w:val="28"/>
        </w:rPr>
        <w:t xml:space="preserve">so we </w:t>
      </w:r>
      <w:r w:rsidR="007A796A" w:rsidRPr="007A796A">
        <w:rPr>
          <w:sz w:val="28"/>
          <w:szCs w:val="28"/>
        </w:rPr>
        <w:t xml:space="preserve">understand what support their child needs </w:t>
      </w:r>
      <w:proofErr w:type="gramStart"/>
      <w:r w:rsidR="007A796A" w:rsidRPr="007A796A">
        <w:rPr>
          <w:sz w:val="28"/>
          <w:szCs w:val="28"/>
        </w:rPr>
        <w:t>in order to</w:t>
      </w:r>
      <w:proofErr w:type="gramEnd"/>
      <w:r w:rsidR="007A796A" w:rsidRPr="007A796A">
        <w:rPr>
          <w:sz w:val="28"/>
          <w:szCs w:val="28"/>
        </w:rPr>
        <w:t xml:space="preserve"> feel settled a</w:t>
      </w:r>
      <w:r>
        <w:rPr>
          <w:sz w:val="28"/>
          <w:szCs w:val="28"/>
        </w:rPr>
        <w:t>t pre-school</w:t>
      </w:r>
    </w:p>
    <w:p w14:paraId="5B02040D" w14:textId="545017DC" w:rsidR="007A796A" w:rsidRPr="00D34990" w:rsidRDefault="007A796A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796A">
        <w:rPr>
          <w:sz w:val="28"/>
          <w:szCs w:val="28"/>
        </w:rPr>
        <w:t xml:space="preserve">Recognise that this can be a time where the families </w:t>
      </w:r>
      <w:r w:rsidR="00D34990">
        <w:rPr>
          <w:sz w:val="28"/>
          <w:szCs w:val="28"/>
        </w:rPr>
        <w:t xml:space="preserve">also </w:t>
      </w:r>
      <w:r w:rsidRPr="007A796A">
        <w:rPr>
          <w:sz w:val="28"/>
          <w:szCs w:val="28"/>
        </w:rPr>
        <w:t>need reassurance and support when leaving their child at our setting</w:t>
      </w:r>
    </w:p>
    <w:p w14:paraId="1FB0371A" w14:textId="65E0A1C7" w:rsidR="00D34990" w:rsidRPr="006B79BF" w:rsidRDefault="00D34990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Ask families to complete the Registration and All About Me forms so we know details of their child’s needs, personal care routines, dietary requirements, medical conditions, </w:t>
      </w:r>
      <w:r w:rsidR="00B440A3">
        <w:rPr>
          <w:sz w:val="28"/>
          <w:szCs w:val="28"/>
        </w:rPr>
        <w:t xml:space="preserve">including their </w:t>
      </w:r>
      <w:r>
        <w:rPr>
          <w:sz w:val="28"/>
          <w:szCs w:val="28"/>
        </w:rPr>
        <w:t>likes and dislikes etc</w:t>
      </w:r>
    </w:p>
    <w:p w14:paraId="2375D66C" w14:textId="207D5F5F" w:rsidR="006B79BF" w:rsidRPr="00564927" w:rsidRDefault="00564927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Listen to the expectations of families</w:t>
      </w:r>
    </w:p>
    <w:p w14:paraId="04C093E3" w14:textId="5DAA8998" w:rsidR="00564927" w:rsidRPr="00D34990" w:rsidRDefault="004D5858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Explain our </w:t>
      </w:r>
      <w:r w:rsidR="00006709">
        <w:rPr>
          <w:rFonts w:cstheme="minorHAnsi"/>
          <w:sz w:val="28"/>
          <w:szCs w:val="28"/>
        </w:rPr>
        <w:t xml:space="preserve">settling in </w:t>
      </w:r>
      <w:r>
        <w:rPr>
          <w:rFonts w:cstheme="minorHAnsi"/>
          <w:sz w:val="28"/>
          <w:szCs w:val="28"/>
        </w:rPr>
        <w:t>procedures fully and clearly</w:t>
      </w:r>
      <w:r w:rsidR="00006709">
        <w:rPr>
          <w:rFonts w:cstheme="minorHAnsi"/>
          <w:sz w:val="28"/>
          <w:szCs w:val="28"/>
        </w:rPr>
        <w:t xml:space="preserve"> </w:t>
      </w:r>
      <w:r w:rsidR="00DA7DBE">
        <w:rPr>
          <w:rFonts w:cstheme="minorHAnsi"/>
          <w:sz w:val="28"/>
          <w:szCs w:val="28"/>
        </w:rPr>
        <w:t>for all families</w:t>
      </w:r>
    </w:p>
    <w:p w14:paraId="22322106" w14:textId="34357D55" w:rsidR="00D34990" w:rsidRPr="00D34990" w:rsidRDefault="00D34990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Book children in for ‘Play sessions’ to help them settle with a family member</w:t>
      </w:r>
      <w:r w:rsidR="00854996">
        <w:rPr>
          <w:sz w:val="28"/>
          <w:szCs w:val="28"/>
        </w:rPr>
        <w:t xml:space="preserve"> accompanying them</w:t>
      </w:r>
      <w:r>
        <w:rPr>
          <w:sz w:val="28"/>
          <w:szCs w:val="28"/>
        </w:rPr>
        <w:t xml:space="preserve"> for support</w:t>
      </w:r>
    </w:p>
    <w:p w14:paraId="07187101" w14:textId="6FE2AD02" w:rsidR="00D34990" w:rsidRPr="00D229DF" w:rsidRDefault="00D34990" w:rsidP="00DF7B4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Do home visits if requested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</w:t>
      </w:r>
      <w:r w:rsidR="00D229DF">
        <w:rPr>
          <w:sz w:val="28"/>
          <w:szCs w:val="28"/>
        </w:rPr>
        <w:t>find out how we can fully support each child</w:t>
      </w:r>
    </w:p>
    <w:p w14:paraId="2965164C" w14:textId="3074714D" w:rsidR="00D229DF" w:rsidRPr="00DF7B41" w:rsidRDefault="00D229DF" w:rsidP="00DF7B4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Allocate all children a staff member as a Key Person to support them throughout their time at our setting</w:t>
      </w:r>
    </w:p>
    <w:p w14:paraId="0614BF7E" w14:textId="669FEB87" w:rsidR="007A796A" w:rsidRDefault="00D34990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Encourage families to bring in their child’s comforter from home if needed </w:t>
      </w:r>
    </w:p>
    <w:p w14:paraId="44674B63" w14:textId="7F95024C" w:rsidR="00DF7B41" w:rsidRDefault="00DF7B41" w:rsidP="00DF7B4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Send </w:t>
      </w:r>
      <w:r w:rsidR="00D229DF">
        <w:rPr>
          <w:rFonts w:cstheme="minorHAnsi"/>
          <w:sz w:val="28"/>
          <w:szCs w:val="28"/>
        </w:rPr>
        <w:t xml:space="preserve">a </w:t>
      </w:r>
      <w:r>
        <w:rPr>
          <w:rFonts w:cstheme="minorHAnsi"/>
          <w:sz w:val="28"/>
          <w:szCs w:val="28"/>
        </w:rPr>
        <w:t>text to families to feedback on how their child is settling</w:t>
      </w:r>
      <w:r w:rsidR="00D229D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and w</w:t>
      </w:r>
      <w:r w:rsidRPr="00DF7B41">
        <w:rPr>
          <w:rFonts w:cstheme="minorHAnsi"/>
          <w:sz w:val="28"/>
          <w:szCs w:val="28"/>
        </w:rPr>
        <w:t>elcome families to call or te</w:t>
      </w:r>
      <w:r>
        <w:rPr>
          <w:rFonts w:cstheme="minorHAnsi"/>
          <w:sz w:val="28"/>
          <w:szCs w:val="28"/>
        </w:rPr>
        <w:t>xt us if they need further reassurance</w:t>
      </w:r>
    </w:p>
    <w:p w14:paraId="3B047C4D" w14:textId="16516B4F" w:rsidR="00DF7B41" w:rsidRDefault="00813B1C" w:rsidP="00DF7B4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parents access to an online journal of their child’s time at our setting, featuring photos and videos of them playing and exploring</w:t>
      </w:r>
    </w:p>
    <w:p w14:paraId="4C8E6E58" w14:textId="56913DB4" w:rsidR="00813B1C" w:rsidRDefault="00813B1C" w:rsidP="00DF7B4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Ensure all staff are trained in safeguarding so they can comfort and support children appropriately </w:t>
      </w:r>
    </w:p>
    <w:p w14:paraId="11D3303B" w14:textId="301DC50E" w:rsidR="00B440CE" w:rsidRPr="00D229DF" w:rsidRDefault="00813B1C" w:rsidP="00D229D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Ensure we </w:t>
      </w:r>
      <w:proofErr w:type="gramStart"/>
      <w:r>
        <w:rPr>
          <w:rFonts w:cstheme="minorHAnsi"/>
          <w:sz w:val="28"/>
          <w:szCs w:val="28"/>
        </w:rPr>
        <w:t>have staff on duty at all times</w:t>
      </w:r>
      <w:proofErr w:type="gramEnd"/>
      <w:r>
        <w:rPr>
          <w:rFonts w:cstheme="minorHAnsi"/>
          <w:sz w:val="28"/>
          <w:szCs w:val="28"/>
        </w:rPr>
        <w:t xml:space="preserve"> who are trained in Paediatric First Aid</w:t>
      </w:r>
      <w:r w:rsidR="0045034F">
        <w:rPr>
          <w:rFonts w:cstheme="minorHAnsi"/>
          <w:sz w:val="28"/>
          <w:szCs w:val="28"/>
        </w:rPr>
        <w:t xml:space="preserve"> </w:t>
      </w:r>
    </w:p>
    <w:p w14:paraId="180DE970" w14:textId="77777777" w:rsidR="00D34990" w:rsidRDefault="00D34990" w:rsidP="00D34990">
      <w:pPr>
        <w:ind w:left="720"/>
        <w:rPr>
          <w:rFonts w:ascii="Verdana" w:hAnsi="Verdana"/>
        </w:rPr>
      </w:pPr>
    </w:p>
    <w:p w14:paraId="7303BCF6" w14:textId="77777777" w:rsidR="000F2ABA" w:rsidRPr="007A796A" w:rsidRDefault="000F2ABA" w:rsidP="000F2ABA">
      <w:pPr>
        <w:rPr>
          <w:rFonts w:cstheme="minorHAnsi"/>
          <w:sz w:val="28"/>
          <w:szCs w:val="28"/>
        </w:rPr>
      </w:pPr>
    </w:p>
    <w:p w14:paraId="71751A0F" w14:textId="77777777" w:rsidR="000F2ABA" w:rsidRPr="006C0456" w:rsidRDefault="000F2ABA" w:rsidP="000F2ABA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t>Our staff will:</w:t>
      </w:r>
    </w:p>
    <w:p w14:paraId="3475927B" w14:textId="0E0F2B8D" w:rsidR="000F2ABA" w:rsidRDefault="00DF7B41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advice and support families with the settling in process</w:t>
      </w:r>
    </w:p>
    <w:p w14:paraId="1478431F" w14:textId="26B2237D" w:rsidR="00B440CE" w:rsidRDefault="00DF7B41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Discuss with families when they think children are ready to attend without a family member</w:t>
      </w:r>
      <w:r w:rsidR="00D229DF">
        <w:rPr>
          <w:rFonts w:cstheme="minorHAnsi"/>
          <w:sz w:val="28"/>
          <w:szCs w:val="28"/>
        </w:rPr>
        <w:t xml:space="preserve"> present</w:t>
      </w:r>
    </w:p>
    <w:p w14:paraId="25EAF28D" w14:textId="71794257" w:rsidR="00DF7B41" w:rsidRDefault="00D229DF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 with families i</w:t>
      </w:r>
      <w:r w:rsidR="00DF7B41">
        <w:rPr>
          <w:rFonts w:cstheme="minorHAnsi"/>
          <w:sz w:val="28"/>
          <w:szCs w:val="28"/>
        </w:rPr>
        <w:t>f they think the child may need more support with settling in</w:t>
      </w:r>
      <w:r w:rsidR="00B440CE">
        <w:rPr>
          <w:rFonts w:cstheme="minorHAnsi"/>
          <w:sz w:val="28"/>
          <w:szCs w:val="28"/>
        </w:rPr>
        <w:t xml:space="preserve"> or </w:t>
      </w:r>
      <w:r>
        <w:rPr>
          <w:rFonts w:cstheme="minorHAnsi"/>
          <w:sz w:val="28"/>
          <w:szCs w:val="28"/>
        </w:rPr>
        <w:t>if they are struggling and would benefit</w:t>
      </w:r>
      <w:r w:rsidR="00B440CE">
        <w:rPr>
          <w:rFonts w:cstheme="minorHAnsi"/>
          <w:sz w:val="28"/>
          <w:szCs w:val="28"/>
        </w:rPr>
        <w:t xml:space="preserve"> from doing shorter sessions until they are ready for a longer day</w:t>
      </w:r>
    </w:p>
    <w:p w14:paraId="5DE7CC81" w14:textId="4A00F196" w:rsidR="00B440CE" w:rsidRDefault="00B440CE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Use their experiences in their job and as parents themselves to understand how to support children </w:t>
      </w:r>
      <w:r w:rsidR="00D229DF">
        <w:rPr>
          <w:rFonts w:cstheme="minorHAnsi"/>
          <w:sz w:val="28"/>
          <w:szCs w:val="28"/>
        </w:rPr>
        <w:t xml:space="preserve">and </w:t>
      </w:r>
      <w:r>
        <w:rPr>
          <w:rFonts w:cstheme="minorHAnsi"/>
          <w:sz w:val="28"/>
          <w:szCs w:val="28"/>
        </w:rPr>
        <w:t xml:space="preserve">their families during this process </w:t>
      </w:r>
    </w:p>
    <w:p w14:paraId="417EE1EB" w14:textId="77777777" w:rsidR="00813B1C" w:rsidRDefault="00813B1C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Give families feedback at the end of their child’s session </w:t>
      </w:r>
    </w:p>
    <w:p w14:paraId="77066BD4" w14:textId="5B6203A1" w:rsidR="00DF7B41" w:rsidRDefault="00813B1C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 photos/videos of their child onto their online journal</w:t>
      </w:r>
    </w:p>
    <w:p w14:paraId="5A323032" w14:textId="787D1420" w:rsidR="00813B1C" w:rsidRDefault="00813B1C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Comfort children if they need it</w:t>
      </w:r>
      <w:r w:rsidR="00D229DF">
        <w:rPr>
          <w:rFonts w:cstheme="minorHAnsi"/>
          <w:sz w:val="28"/>
          <w:szCs w:val="28"/>
        </w:rPr>
        <w:t xml:space="preserve"> (b</w:t>
      </w:r>
      <w:r>
        <w:rPr>
          <w:rFonts w:cstheme="minorHAnsi"/>
          <w:sz w:val="28"/>
          <w:szCs w:val="28"/>
        </w:rPr>
        <w:t>y comforting we mean giving a hug, letting a child sit on their lap or just sitting close to them for reassurance. All staff do this in an appropriate way as all staff are trained in safeguarding children</w:t>
      </w:r>
      <w:r w:rsidR="00D229DF">
        <w:rPr>
          <w:rFonts w:cstheme="minorHAnsi"/>
          <w:sz w:val="28"/>
          <w:szCs w:val="28"/>
        </w:rPr>
        <w:t>)</w:t>
      </w:r>
    </w:p>
    <w:p w14:paraId="085A5174" w14:textId="7B13AE10" w:rsidR="00813B1C" w:rsidRDefault="00B440CE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Use our visual timetable to show children the routine of the day/session and when it is home time so they </w:t>
      </w:r>
      <w:r w:rsidR="0043742B">
        <w:rPr>
          <w:rFonts w:cstheme="minorHAnsi"/>
          <w:sz w:val="28"/>
          <w:szCs w:val="28"/>
        </w:rPr>
        <w:t>know when</w:t>
      </w:r>
      <w:r>
        <w:rPr>
          <w:rFonts w:cstheme="minorHAnsi"/>
          <w:sz w:val="28"/>
          <w:szCs w:val="28"/>
        </w:rPr>
        <w:t xml:space="preserve"> their family will return</w:t>
      </w:r>
    </w:p>
    <w:p w14:paraId="4072A946" w14:textId="25F4AC37" w:rsidR="00B440CE" w:rsidRDefault="00B440CE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Introduce new children to the group during ‘register time’ so </w:t>
      </w:r>
      <w:r w:rsidR="00D229DF">
        <w:rPr>
          <w:rFonts w:cstheme="minorHAnsi"/>
          <w:sz w:val="28"/>
          <w:szCs w:val="28"/>
        </w:rPr>
        <w:t>everyone</w:t>
      </w:r>
      <w:r>
        <w:rPr>
          <w:rFonts w:cstheme="minorHAnsi"/>
          <w:sz w:val="28"/>
          <w:szCs w:val="28"/>
        </w:rPr>
        <w:t xml:space="preserve"> learn</w:t>
      </w:r>
      <w:r w:rsidR="00D229DF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their name and to encourage children to make friends</w:t>
      </w:r>
    </w:p>
    <w:p w14:paraId="1BE95CEA" w14:textId="3477F751" w:rsidR="00B440CE" w:rsidRDefault="00B440CE" w:rsidP="000F2AB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Encourage new children to explore the fun activ</w:t>
      </w:r>
      <w:r w:rsidR="006F00C6">
        <w:rPr>
          <w:rFonts w:cstheme="minorHAnsi"/>
          <w:sz w:val="28"/>
          <w:szCs w:val="28"/>
        </w:rPr>
        <w:t>ities</w:t>
      </w:r>
      <w:r>
        <w:rPr>
          <w:rFonts w:cstheme="minorHAnsi"/>
          <w:sz w:val="28"/>
          <w:szCs w:val="28"/>
        </w:rPr>
        <w:t xml:space="preserve"> on offer and support them to join </w:t>
      </w:r>
      <w:r w:rsidR="001E7402">
        <w:rPr>
          <w:rFonts w:cstheme="minorHAnsi"/>
          <w:sz w:val="28"/>
          <w:szCs w:val="28"/>
        </w:rPr>
        <w:t xml:space="preserve">in with </w:t>
      </w:r>
      <w:r>
        <w:rPr>
          <w:rFonts w:cstheme="minorHAnsi"/>
          <w:sz w:val="28"/>
          <w:szCs w:val="28"/>
        </w:rPr>
        <w:t>other children’s play</w:t>
      </w:r>
    </w:p>
    <w:p w14:paraId="74A7B9DA" w14:textId="77777777" w:rsidR="001E7402" w:rsidRPr="001E7402" w:rsidRDefault="001E7402" w:rsidP="001E7402">
      <w:pPr>
        <w:rPr>
          <w:rFonts w:cstheme="minorHAnsi"/>
          <w:sz w:val="28"/>
          <w:szCs w:val="28"/>
        </w:rPr>
      </w:pPr>
    </w:p>
    <w:p w14:paraId="4548DFCC" w14:textId="5FF6F34E" w:rsidR="001E7402" w:rsidRPr="006C0456" w:rsidRDefault="006C0456" w:rsidP="001E7402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t>The Pre-school takes guidance from</w:t>
      </w:r>
      <w:r w:rsidR="001E7402" w:rsidRPr="006C0456">
        <w:rPr>
          <w:rFonts w:cstheme="minorHAnsi"/>
          <w:b/>
          <w:bCs/>
          <w:sz w:val="28"/>
          <w:szCs w:val="28"/>
        </w:rPr>
        <w:t xml:space="preserve"> the following:</w:t>
      </w:r>
    </w:p>
    <w:p w14:paraId="17BE680F" w14:textId="02B6410F" w:rsidR="001E7402" w:rsidRDefault="00C05934" w:rsidP="001E7402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Statutory </w:t>
      </w:r>
      <w:r w:rsidR="00BE7869">
        <w:rPr>
          <w:rFonts w:cstheme="minorHAnsi"/>
          <w:sz w:val="28"/>
          <w:szCs w:val="28"/>
        </w:rPr>
        <w:t xml:space="preserve">Framework for the </w:t>
      </w:r>
      <w:r w:rsidR="001E7402" w:rsidRPr="00FB1241">
        <w:rPr>
          <w:rFonts w:cstheme="minorHAnsi"/>
          <w:sz w:val="28"/>
          <w:szCs w:val="28"/>
        </w:rPr>
        <w:t xml:space="preserve">Early Years Foundation Stage </w:t>
      </w:r>
    </w:p>
    <w:p w14:paraId="774202B9" w14:textId="1BBB2B52" w:rsidR="001E7402" w:rsidRDefault="001E7402" w:rsidP="001E7402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Our Safeguarding Policy</w:t>
      </w:r>
    </w:p>
    <w:p w14:paraId="3685D8D7" w14:textId="1EAFC4E9" w:rsidR="001E7402" w:rsidRPr="001E7402" w:rsidRDefault="001E7402" w:rsidP="001E7402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Our Disclosure in the Public Interest policy </w:t>
      </w:r>
    </w:p>
    <w:p w14:paraId="5E89C17A" w14:textId="38574DBA" w:rsidR="00813B1C" w:rsidRDefault="00813B1C" w:rsidP="00813B1C">
      <w:pPr>
        <w:rPr>
          <w:rFonts w:cstheme="minorHAnsi"/>
          <w:sz w:val="28"/>
          <w:szCs w:val="28"/>
        </w:rPr>
      </w:pPr>
    </w:p>
    <w:p w14:paraId="084D9C3C" w14:textId="77777777" w:rsidR="00813B1C" w:rsidRPr="00813B1C" w:rsidRDefault="00813B1C" w:rsidP="00813B1C">
      <w:pPr>
        <w:rPr>
          <w:rFonts w:cstheme="minorHAnsi"/>
          <w:sz w:val="28"/>
          <w:szCs w:val="28"/>
        </w:rPr>
      </w:pPr>
    </w:p>
    <w:p w14:paraId="1D815B37" w14:textId="77777777" w:rsidR="000F2ABA" w:rsidRDefault="000F2ABA" w:rsidP="000F2ABA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2"/>
      </w:tblGrid>
      <w:tr w:rsidR="000F2ABA" w14:paraId="222D4167" w14:textId="77777777" w:rsidTr="00D414A1">
        <w:tc>
          <w:tcPr>
            <w:tcW w:w="10090" w:type="dxa"/>
            <w:gridSpan w:val="2"/>
          </w:tcPr>
          <w:p w14:paraId="0695215B" w14:textId="77777777" w:rsidR="000F2ABA" w:rsidRPr="007169B5" w:rsidRDefault="000F2ABA" w:rsidP="00D414A1">
            <w:pPr>
              <w:jc w:val="center"/>
              <w:rPr>
                <w:rFonts w:cstheme="minorHAnsi"/>
              </w:rPr>
            </w:pPr>
            <w:r w:rsidRPr="007169B5">
              <w:rPr>
                <w:rFonts w:cstheme="minorHAnsi"/>
              </w:rPr>
              <w:t>This policy was approved by the Committee of Southern Cross Pre-school</w:t>
            </w:r>
          </w:p>
        </w:tc>
      </w:tr>
      <w:tr w:rsidR="000F2ABA" w14:paraId="0D860940" w14:textId="77777777" w:rsidTr="00D414A1">
        <w:tc>
          <w:tcPr>
            <w:tcW w:w="5048" w:type="dxa"/>
          </w:tcPr>
          <w:p w14:paraId="3D32DFBD" w14:textId="77777777" w:rsidR="000F2ABA" w:rsidRDefault="000F2ABA" w:rsidP="00D414A1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Name:</w:t>
            </w:r>
          </w:p>
          <w:p w14:paraId="63BE2EE6" w14:textId="77777777" w:rsidR="000F2ABA" w:rsidRPr="007169B5" w:rsidRDefault="000F2ABA" w:rsidP="00D414A1">
            <w:pPr>
              <w:rPr>
                <w:rFonts w:cstheme="minorHAnsi"/>
              </w:rPr>
            </w:pPr>
          </w:p>
        </w:tc>
        <w:tc>
          <w:tcPr>
            <w:tcW w:w="5042" w:type="dxa"/>
          </w:tcPr>
          <w:p w14:paraId="121A1436" w14:textId="77777777" w:rsidR="000F2ABA" w:rsidRPr="007169B5" w:rsidRDefault="000F2ABA" w:rsidP="00D414A1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Role:</w:t>
            </w:r>
          </w:p>
        </w:tc>
      </w:tr>
      <w:tr w:rsidR="000F2ABA" w14:paraId="44D7AA83" w14:textId="77777777" w:rsidTr="00D414A1">
        <w:tc>
          <w:tcPr>
            <w:tcW w:w="5048" w:type="dxa"/>
          </w:tcPr>
          <w:p w14:paraId="6A1DA77A" w14:textId="77777777" w:rsidR="000F2ABA" w:rsidRDefault="000F2ABA" w:rsidP="00D414A1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Sign:</w:t>
            </w:r>
          </w:p>
          <w:p w14:paraId="0EAEDB40" w14:textId="77777777" w:rsidR="000F2ABA" w:rsidRPr="007169B5" w:rsidRDefault="000F2ABA" w:rsidP="00D414A1">
            <w:pPr>
              <w:rPr>
                <w:rFonts w:cstheme="minorHAnsi"/>
              </w:rPr>
            </w:pPr>
          </w:p>
        </w:tc>
        <w:tc>
          <w:tcPr>
            <w:tcW w:w="5042" w:type="dxa"/>
          </w:tcPr>
          <w:p w14:paraId="651DD740" w14:textId="77777777" w:rsidR="000F2ABA" w:rsidRPr="007169B5" w:rsidRDefault="000F2ABA" w:rsidP="00D414A1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Date:</w:t>
            </w:r>
          </w:p>
        </w:tc>
      </w:tr>
    </w:tbl>
    <w:p w14:paraId="20B52B86" w14:textId="77777777" w:rsidR="000F2ABA" w:rsidRPr="000A0A5C" w:rsidRDefault="000F2ABA" w:rsidP="000F2ABA">
      <w:pPr>
        <w:rPr>
          <w:rFonts w:cstheme="minorHAnsi"/>
          <w:sz w:val="28"/>
          <w:szCs w:val="28"/>
        </w:rPr>
      </w:pPr>
    </w:p>
    <w:p w14:paraId="522304A5" w14:textId="77777777" w:rsidR="00275F15" w:rsidRDefault="00275F15"/>
    <w:sectPr w:rsidR="00275F15" w:rsidSect="000F2AB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EF2"/>
    <w:multiLevelType w:val="hybridMultilevel"/>
    <w:tmpl w:val="3DDA2970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537"/>
    <w:multiLevelType w:val="hybridMultilevel"/>
    <w:tmpl w:val="428A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C37F0"/>
    <w:multiLevelType w:val="hybridMultilevel"/>
    <w:tmpl w:val="6E68F570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79226">
    <w:abstractNumId w:val="0"/>
  </w:num>
  <w:num w:numId="2" w16cid:durableId="754670722">
    <w:abstractNumId w:val="1"/>
  </w:num>
  <w:num w:numId="3" w16cid:durableId="128727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A"/>
    <w:rsid w:val="000012F1"/>
    <w:rsid w:val="00006709"/>
    <w:rsid w:val="00051351"/>
    <w:rsid w:val="000F2ABA"/>
    <w:rsid w:val="001A4B22"/>
    <w:rsid w:val="001E7402"/>
    <w:rsid w:val="00275F15"/>
    <w:rsid w:val="0031696B"/>
    <w:rsid w:val="0035029B"/>
    <w:rsid w:val="003A1E31"/>
    <w:rsid w:val="0043742B"/>
    <w:rsid w:val="0045034F"/>
    <w:rsid w:val="00482D4B"/>
    <w:rsid w:val="004D5858"/>
    <w:rsid w:val="00564927"/>
    <w:rsid w:val="006B79BF"/>
    <w:rsid w:val="006C0456"/>
    <w:rsid w:val="006E3D8A"/>
    <w:rsid w:val="006F00C6"/>
    <w:rsid w:val="007A796A"/>
    <w:rsid w:val="00813B1C"/>
    <w:rsid w:val="0083121F"/>
    <w:rsid w:val="00854996"/>
    <w:rsid w:val="00AA07A6"/>
    <w:rsid w:val="00B14148"/>
    <w:rsid w:val="00B440A3"/>
    <w:rsid w:val="00B440CE"/>
    <w:rsid w:val="00B9364A"/>
    <w:rsid w:val="00BE7869"/>
    <w:rsid w:val="00C05934"/>
    <w:rsid w:val="00C30751"/>
    <w:rsid w:val="00CC3653"/>
    <w:rsid w:val="00CD6D55"/>
    <w:rsid w:val="00D229DF"/>
    <w:rsid w:val="00D34990"/>
    <w:rsid w:val="00DA7DBE"/>
    <w:rsid w:val="00DF7B41"/>
    <w:rsid w:val="00E17A43"/>
    <w:rsid w:val="00E53790"/>
    <w:rsid w:val="00E95200"/>
    <w:rsid w:val="00E963A0"/>
    <w:rsid w:val="00EC6090"/>
    <w:rsid w:val="00EF407A"/>
    <w:rsid w:val="00F1119C"/>
    <w:rsid w:val="00F227C4"/>
    <w:rsid w:val="00F54886"/>
    <w:rsid w:val="00F81054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2CEC"/>
  <w15:chartTrackingRefBased/>
  <w15:docId w15:val="{6FC40498-F86E-6547-8FCA-5C8131ED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ABA"/>
    <w:pPr>
      <w:ind w:left="720"/>
      <w:contextualSpacing/>
    </w:pPr>
  </w:style>
  <w:style w:type="table" w:styleId="TableGrid">
    <w:name w:val="Table Grid"/>
    <w:basedOn w:val="TableNormal"/>
    <w:uiPriority w:val="39"/>
    <w:rsid w:val="000F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/Users/paulastevens/Library/Containers/com.microsoft.Outlook/Data/Library/Caches/Signatures/signature_10461059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3056</Characters>
  <Application>Microsoft Office Word</Application>
  <DocSecurity>0</DocSecurity>
  <Lines>84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Stevens</dc:creator>
  <cp:keywords/>
  <dc:description/>
  <cp:lastModifiedBy>Paula Stevens</cp:lastModifiedBy>
  <cp:revision>2</cp:revision>
  <dcterms:created xsi:type="dcterms:W3CDTF">2026-03-19T13:55:00Z</dcterms:created>
  <dcterms:modified xsi:type="dcterms:W3CDTF">2026-03-19T13:55:00Z</dcterms:modified>
</cp:coreProperties>
</file>